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Poso Energy</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Energi PLTA</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PLTA Poso Peaker 515 MW 
Desa Sulewana Kecamatan Pamona Utara Kabupaten Poso</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91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80"/>
      </w:tblGrid>
      <w:tr w:rsidR="0024600D" w:rsidRPr="0076165E" w:rsidTr="00F80A24">
        <w:trPr>
          <w:trHeight w:val="352"/>
        </w:trPr>
        <w:tc>
          <w:tcPr>
            <w:tcW w:w="9180" w:type="dxa"/>
          </w:tcPr>
          <w:p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893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3521"/>
              <w:gridCol w:w="1413"/>
              <w:gridCol w:w="3455"/>
            </w:tblGrid>
            <w:tr w:rsidR="0024600D" w:rsidRPr="0076165E" w:rsidTr="009E4E63">
              <w:trPr>
                <w:tblHeader/>
              </w:trPr>
              <w:tc>
                <w:tcPr>
                  <w:tcW w:w="549" w:type="dxa"/>
                  <w:shd w:val="clear" w:color="auto" w:fill="E0E0E0"/>
                  <w:vAlign w:val="center"/>
                </w:tcPr>
                <w:p w:rsidR="0024600D" w:rsidRPr="0076165E" w:rsidRDefault="00E96460">
                  <w:pPr>
                    <w:spacing w:after="0" w:line="240" w:lineRule="auto"/>
                    <w:jc w:val="center"/>
                    <w:rPr>
                      <w:b/>
                      <w:sz w:val="22"/>
                      <w:szCs w:val="22"/>
                      <w:lang w:val="es-ES"/>
                    </w:rPr>
                  </w:pPr>
                  <w:r w:rsidRPr="0076165E">
                    <w:rPr>
                      <w:b/>
                      <w:sz w:val="22"/>
                      <w:szCs w:val="22"/>
                      <w:lang w:val="es-ES"/>
                    </w:rPr>
                    <w:t>No.</w:t>
                  </w:r>
                </w:p>
              </w:tc>
              <w:tc>
                <w:tcPr>
                  <w:tcW w:w="3521" w:type="dxa"/>
                  <w:shd w:val="clear" w:color="auto" w:fill="E0E0E0"/>
                  <w:vAlign w:val="center"/>
                </w:tcPr>
                <w:p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1413" w:type="dxa"/>
                  <w:shd w:val="clear" w:color="auto" w:fill="E0E0E0"/>
                  <w:vAlign w:val="center"/>
                </w:tcPr>
                <w:p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3455" w:type="dxa"/>
                  <w:shd w:val="clear" w:color="auto" w:fill="E0E0E0"/>
                  <w:vAlign w:val="center"/>
                </w:tcPr>
                <w:p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8C7E91" w:rsidRPr="0076165E" w:rsidTr="009E4E63">
              <w:tc>
                <w:tcPr>
                  <w:tcW w:w="549" w:type="dxa"/>
                </w:tcPr>
                <w:p w:rsidR="008C7E91" w:rsidRPr="0076165E" w:rsidRDefault="008C7E91">
                  <w:pPr>
                    <w:spacing w:after="0" w:line="240" w:lineRule="auto"/>
                    <w:jc w:val="center"/>
                    <w:rPr>
                      <w:sz w:val="22"/>
                      <w:szCs w:val="22"/>
                      <w:lang w:val="sv-SE"/>
                    </w:rPr>
                  </w:pPr>
                  <w:r w:rsidRPr="0076165E">
                    <w:rPr>
                      <w:sz w:val="22"/>
                      <w:szCs w:val="22"/>
                      <w:lang w:val="sv-SE"/>
                    </w:rPr>
                    <w:t>1.</w:t>
                  </w:r>
                </w:p>
              </w:tc>
              <w:tc>
                <w:tcPr>
                  <w:tcW w:w="3521" w:type="dxa"/>
                </w:tcPr>
                <w:p w:rsidR="008C7E91" w:rsidRPr="0076165E" w:rsidRDefault="008C7E91">
                  <w:pPr>
                    <w:spacing w:after="0" w:line="240" w:lineRule="auto"/>
                    <w:rPr>
                      <w:sz w:val="22"/>
                      <w:szCs w:val="22"/>
                      <w:lang w:val="id-ID"/>
                    </w:rPr>
                  </w:pPr>
                  <w:r w:rsidRPr="0076165E">
                    <w:rPr>
                      <w:sz w:val="22"/>
                      <w:szCs w:val="22"/>
                      <w:lang w:val="id-ID"/>
                    </w:rPr>
                    <w:t>Ketaatan terhadap Izin</w:t>
                  </w:r>
                </w:p>
              </w:tc>
              <w:tc>
                <w:tcPr>
                  <w:tcW w:w="1413" w:type="dxa"/>
                </w:tcPr>
                <w:p w:rsidR="008C7E91" w:rsidRPr="0076165E" w:rsidRDefault="00791BF4" w:rsidP="006B29B7">
                  <w:pPr>
                    <w:spacing w:after="0" w:line="240" w:lineRule="auto"/>
                    <w:jc w:val="center"/>
                    <w:rPr>
                      <w:sz w:val="22"/>
                      <w:szCs w:val="22"/>
                    </w:rPr>
                  </w:pPr>
                  <w:r>
                    <w:rPr>
                      <w:sz w:val="22"/>
                      <w:szCs w:val="22"/>
                    </w:rPr>
                    <w:t>TAAT</w:t>
                  </w:r>
                </w:p>
              </w:tc>
              <w:tc>
                <w:tcPr>
                  <w:tcW w:w="3455" w:type="dxa"/>
                  <w:vMerge w:val="restart"/>
                </w:tcPr>
                <w:p w:rsidR="008C7E91" w:rsidRPr="0076165E" w:rsidRDefault="008C7E91" w:rsidP="0033315B">
                  <w:pPr>
                    <w:spacing w:after="0" w:line="240" w:lineRule="auto"/>
                    <w:rPr>
                      <w:sz w:val="22"/>
                      <w:szCs w:val="22"/>
                    </w:rPr>
                  </w:pPr>
                  <w:r>
                    <w:rPr>
                      <w:sz w:val="22"/>
                      <w:szCs w:val="22"/>
                    </w:rPr>
                    <w:t>Perusahaan tidak menghasilkan air limbah produksi dan pengelolaan air limbah domestik diserahkan kepada pihak ketiga Dinas Lingkungan Hidup Kab. Poso dan telah melampirkan Surat Perjanjian Kerjasama Nomor 660/074.3/DLH/2022 Tanggal 18 Juli 2022 dan Nomor 660/57/DLH/2023 Tanggal 17 Mei 2023</w:t>
                  </w:r>
                </w:p>
              </w:tc>
            </w:tr>
            <w:tr w:rsidR="008C7E91" w:rsidRPr="0076165E" w:rsidTr="00B909C2">
              <w:trPr>
                <w:trHeight w:val="521"/>
              </w:trPr>
              <w:tc>
                <w:tcPr>
                  <w:tcW w:w="549" w:type="dxa"/>
                </w:tcPr>
                <w:p w:rsidR="008C7E91" w:rsidRPr="0076165E" w:rsidRDefault="008C7E91">
                  <w:pPr>
                    <w:spacing w:after="0" w:line="240" w:lineRule="auto"/>
                    <w:jc w:val="center"/>
                    <w:rPr>
                      <w:sz w:val="22"/>
                      <w:szCs w:val="22"/>
                      <w:lang w:val="es-ES"/>
                    </w:rPr>
                  </w:pPr>
                  <w:r w:rsidRPr="0076165E">
                    <w:rPr>
                      <w:sz w:val="22"/>
                      <w:szCs w:val="22"/>
                      <w:lang w:val="es-ES"/>
                    </w:rPr>
                    <w:t>2.</w:t>
                  </w:r>
                </w:p>
              </w:tc>
              <w:tc>
                <w:tcPr>
                  <w:tcW w:w="3521" w:type="dxa"/>
                </w:tcPr>
                <w:p w:rsidR="008C7E91" w:rsidRPr="0076165E" w:rsidRDefault="008C7E91" w:rsidP="00B909C2">
                  <w:pPr>
                    <w:spacing w:after="0" w:line="240" w:lineRule="auto"/>
                    <w:rPr>
                      <w:i/>
                      <w:sz w:val="22"/>
                      <w:szCs w:val="22"/>
                      <w:lang w:val="es-ES"/>
                    </w:rPr>
                  </w:pPr>
                  <w:r w:rsidRPr="0076165E">
                    <w:rPr>
                      <w:sz w:val="22"/>
                      <w:szCs w:val="22"/>
                      <w:lang w:val="es-ES"/>
                    </w:rPr>
                    <w:t>Ketaatan terhadap titik penaatan pemantauan</w:t>
                  </w:r>
                </w:p>
              </w:tc>
              <w:tc>
                <w:tcPr>
                  <w:tcW w:w="1413" w:type="dxa"/>
                </w:tcPr>
                <w:p w:rsidR="008C7E91" w:rsidRPr="0076165E" w:rsidRDefault="008C7E91" w:rsidP="009E4E63">
                  <w:pPr>
                    <w:spacing w:after="0" w:line="240" w:lineRule="auto"/>
                    <w:jc w:val="center"/>
                    <w:rPr>
                      <w:sz w:val="22"/>
                      <w:szCs w:val="22"/>
                    </w:rPr>
                  </w:pPr>
                  <w:bookmarkStart w:id="0" w:name="_GoBack"/>
                  <w:bookmarkEnd w:id="0"/>
                </w:p>
              </w:tc>
              <w:tc>
                <w:tcPr>
                  <w:tcW w:w="3455" w:type="dxa"/>
                  <w:vMerge/>
                </w:tcPr>
                <w:p w:rsidR="008C7E91" w:rsidRPr="0076165E" w:rsidRDefault="008C7E91" w:rsidP="003C0B40">
                  <w:pPr>
                    <w:spacing w:after="0" w:line="240" w:lineRule="auto"/>
                    <w:rPr>
                      <w:sz w:val="22"/>
                      <w:szCs w:val="22"/>
                      <w:lang w:val="es-ES"/>
                    </w:rPr>
                  </w:pPr>
                </w:p>
              </w:tc>
            </w:tr>
            <w:tr w:rsidR="008C7E91" w:rsidRPr="0076165E" w:rsidTr="009E4E63">
              <w:trPr>
                <w:trHeight w:val="397"/>
              </w:trPr>
              <w:tc>
                <w:tcPr>
                  <w:tcW w:w="549" w:type="dxa"/>
                </w:tcPr>
                <w:p w:rsidR="008C7E91" w:rsidRPr="0076165E" w:rsidRDefault="008C7E91">
                  <w:pPr>
                    <w:spacing w:after="0" w:line="240" w:lineRule="auto"/>
                    <w:jc w:val="center"/>
                    <w:rPr>
                      <w:sz w:val="22"/>
                      <w:szCs w:val="22"/>
                      <w:lang w:val="sv-SE"/>
                    </w:rPr>
                  </w:pPr>
                  <w:r w:rsidRPr="0076165E">
                    <w:rPr>
                      <w:sz w:val="22"/>
                      <w:szCs w:val="22"/>
                      <w:lang w:val="sv-SE"/>
                    </w:rPr>
                    <w:t>3.</w:t>
                  </w:r>
                </w:p>
              </w:tc>
              <w:tc>
                <w:tcPr>
                  <w:tcW w:w="3521" w:type="dxa"/>
                </w:tcPr>
                <w:p w:rsidR="008C7E91" w:rsidRPr="0076165E" w:rsidRDefault="008C7E91">
                  <w:pPr>
                    <w:spacing w:after="0" w:line="240" w:lineRule="auto"/>
                    <w:rPr>
                      <w:sz w:val="22"/>
                      <w:szCs w:val="22"/>
                      <w:lang w:val="fi-FI"/>
                    </w:rPr>
                  </w:pPr>
                  <w:r w:rsidRPr="0076165E">
                    <w:rPr>
                      <w:sz w:val="22"/>
                      <w:szCs w:val="22"/>
                      <w:lang w:val="fi-FI"/>
                    </w:rPr>
                    <w:t>Ketaatan terhadap parameterBaku Mutu</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rPr>
                  </w:pPr>
                </w:p>
              </w:tc>
            </w:tr>
            <w:tr w:rsidR="008C7E91" w:rsidRPr="0076165E" w:rsidTr="009E4E63">
              <w:tc>
                <w:tcPr>
                  <w:tcW w:w="549" w:type="dxa"/>
                </w:tcPr>
                <w:p w:rsidR="008C7E91" w:rsidRPr="0076165E" w:rsidRDefault="008C7E91">
                  <w:pPr>
                    <w:spacing w:after="0" w:line="240" w:lineRule="auto"/>
                    <w:jc w:val="center"/>
                    <w:rPr>
                      <w:sz w:val="22"/>
                      <w:szCs w:val="22"/>
                      <w:lang w:val="sv-SE"/>
                    </w:rPr>
                  </w:pPr>
                  <w:r w:rsidRPr="0076165E">
                    <w:rPr>
                      <w:sz w:val="22"/>
                      <w:szCs w:val="22"/>
                      <w:lang w:val="sv-SE"/>
                    </w:rPr>
                    <w:t>4.</w:t>
                  </w:r>
                </w:p>
              </w:tc>
              <w:tc>
                <w:tcPr>
                  <w:tcW w:w="3521" w:type="dxa"/>
                </w:tcPr>
                <w:p w:rsidR="008C7E91" w:rsidRPr="0076165E" w:rsidRDefault="008C7E91">
                  <w:pPr>
                    <w:spacing w:after="0" w:line="240" w:lineRule="auto"/>
                    <w:rPr>
                      <w:sz w:val="22"/>
                      <w:szCs w:val="22"/>
                      <w:lang w:val="sv-SE"/>
                    </w:rPr>
                  </w:pPr>
                  <w:r w:rsidRPr="0076165E">
                    <w:rPr>
                      <w:sz w:val="22"/>
                      <w:szCs w:val="22"/>
                      <w:lang w:val="sv-SE"/>
                    </w:rPr>
                    <w:t>Ketaatan terhadap pelaporan</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10009F">
                  <w:pPr>
                    <w:spacing w:after="0" w:line="240" w:lineRule="auto"/>
                    <w:rPr>
                      <w:sz w:val="22"/>
                      <w:szCs w:val="22"/>
                    </w:rPr>
                  </w:pPr>
                </w:p>
              </w:tc>
            </w:tr>
            <w:tr w:rsidR="008C7E91" w:rsidRPr="0076165E" w:rsidTr="009E4E63">
              <w:tc>
                <w:tcPr>
                  <w:tcW w:w="549" w:type="dxa"/>
                  <w:vMerge w:val="restart"/>
                </w:tcPr>
                <w:p w:rsidR="008C7E91" w:rsidRPr="0076165E" w:rsidRDefault="008C7E91">
                  <w:pPr>
                    <w:spacing w:after="0" w:line="240" w:lineRule="auto"/>
                    <w:jc w:val="center"/>
                    <w:rPr>
                      <w:sz w:val="22"/>
                      <w:szCs w:val="22"/>
                      <w:lang w:val="sv-SE"/>
                    </w:rPr>
                  </w:pPr>
                  <w:r w:rsidRPr="0076165E">
                    <w:rPr>
                      <w:sz w:val="22"/>
                      <w:szCs w:val="22"/>
                      <w:lang w:val="sv-SE"/>
                    </w:rPr>
                    <w:t>5.</w:t>
                  </w:r>
                </w:p>
              </w:tc>
              <w:tc>
                <w:tcPr>
                  <w:tcW w:w="3521" w:type="dxa"/>
                </w:tcPr>
                <w:p w:rsidR="008C7E91" w:rsidRPr="0076165E" w:rsidRDefault="008C7E91" w:rsidP="00617D36">
                  <w:pPr>
                    <w:spacing w:after="0" w:line="240" w:lineRule="auto"/>
                    <w:rPr>
                      <w:sz w:val="22"/>
                      <w:szCs w:val="22"/>
                      <w:lang w:val="sv-SE"/>
                    </w:rPr>
                  </w:pPr>
                  <w:r w:rsidRPr="0076165E">
                    <w:rPr>
                      <w:sz w:val="22"/>
                      <w:szCs w:val="22"/>
                      <w:lang w:val="fi-FI"/>
                    </w:rPr>
                    <w:t>a. Ketaatan terhadap pemenuhan Baku Mutu</w:t>
                  </w:r>
                </w:p>
              </w:tc>
              <w:tc>
                <w:tcPr>
                  <w:tcW w:w="1413" w:type="dxa"/>
                </w:tcPr>
                <w:p w:rsidR="008C7E91" w:rsidRPr="0076165E" w:rsidRDefault="008C7E91" w:rsidP="00B5453C">
                  <w:pPr>
                    <w:spacing w:after="0" w:line="240" w:lineRule="auto"/>
                    <w:rPr>
                      <w:sz w:val="22"/>
                      <w:szCs w:val="22"/>
                    </w:rPr>
                  </w:pPr>
                </w:p>
              </w:tc>
              <w:tc>
                <w:tcPr>
                  <w:tcW w:w="3455" w:type="dxa"/>
                  <w:vMerge/>
                </w:tcPr>
                <w:p w:rsidR="008C7E91" w:rsidRPr="0076165E" w:rsidRDefault="008C7E91" w:rsidP="0033315B">
                  <w:pPr>
                    <w:spacing w:after="0" w:line="240" w:lineRule="auto"/>
                    <w:rPr>
                      <w:sz w:val="22"/>
                      <w:szCs w:val="22"/>
                    </w:rPr>
                  </w:pPr>
                </w:p>
              </w:tc>
            </w:tr>
            <w:tr w:rsidR="008C7E91" w:rsidRPr="0076165E" w:rsidTr="009E4E63">
              <w:tc>
                <w:tcPr>
                  <w:tcW w:w="549" w:type="dxa"/>
                  <w:vMerge/>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240771">
                  <w:pPr>
                    <w:pStyle w:val="ListParagraph"/>
                    <w:numPr>
                      <w:ilvl w:val="3"/>
                      <w:numId w:val="6"/>
                    </w:numPr>
                    <w:tabs>
                      <w:tab w:val="clear" w:pos="2880"/>
                      <w:tab w:val="num" w:pos="263"/>
                    </w:tabs>
                    <w:spacing w:after="0" w:line="240" w:lineRule="auto"/>
                    <w:ind w:left="263" w:hanging="263"/>
                    <w:rPr>
                      <w:sz w:val="22"/>
                      <w:szCs w:val="22"/>
                      <w:lang w:val="fi-FI"/>
                    </w:rPr>
                  </w:pPr>
                  <w:r w:rsidRPr="0076165E">
                    <w:rPr>
                      <w:sz w:val="22"/>
                      <w:szCs w:val="22"/>
                      <w:lang w:val="fi-FI"/>
                    </w:rPr>
                    <w:t>Konsentrasi</w:t>
                  </w:r>
                  <w:r>
                    <w:rPr>
                      <w:sz w:val="22"/>
                      <w:szCs w:val="22"/>
                      <w:lang w:val="fi-FI"/>
                    </w:rPr>
                    <w:t xml:space="preserve"> (mg/L)</w:t>
                  </w:r>
                </w:p>
              </w:tc>
              <w:tc>
                <w:tcPr>
                  <w:tcW w:w="1413" w:type="dxa"/>
                </w:tcPr>
                <w:p w:rsidR="008C7E91" w:rsidRPr="0076165E" w:rsidRDefault="008C7E91" w:rsidP="00B5453C">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8C7E91" w:rsidRPr="0076165E" w:rsidTr="009E4E63">
              <w:tc>
                <w:tcPr>
                  <w:tcW w:w="549" w:type="dxa"/>
                  <w:vMerge/>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240771">
                  <w:pPr>
                    <w:pStyle w:val="ListParagraph"/>
                    <w:numPr>
                      <w:ilvl w:val="3"/>
                      <w:numId w:val="6"/>
                    </w:numPr>
                    <w:tabs>
                      <w:tab w:val="clear" w:pos="2880"/>
                      <w:tab w:val="num" w:pos="263"/>
                    </w:tabs>
                    <w:spacing w:after="0" w:line="240" w:lineRule="auto"/>
                    <w:ind w:left="263" w:hanging="263"/>
                    <w:rPr>
                      <w:sz w:val="22"/>
                      <w:szCs w:val="22"/>
                      <w:lang w:val="fi-FI"/>
                    </w:rPr>
                  </w:pPr>
                  <w:r w:rsidRPr="0076165E">
                    <w:rPr>
                      <w:sz w:val="22"/>
                      <w:szCs w:val="22"/>
                      <w:lang w:val="fi-FI"/>
                    </w:rPr>
                    <w:t>Beban</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8C7E91" w:rsidRPr="0076165E" w:rsidTr="009E4E63">
              <w:tc>
                <w:tcPr>
                  <w:tcW w:w="549" w:type="dxa"/>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C15435">
                  <w:pPr>
                    <w:spacing w:after="0" w:line="240" w:lineRule="auto"/>
                    <w:rPr>
                      <w:sz w:val="22"/>
                      <w:szCs w:val="22"/>
                      <w:lang w:val="fi-FI"/>
                    </w:rPr>
                  </w:pPr>
                  <w:r w:rsidRPr="0076165E">
                    <w:rPr>
                      <w:sz w:val="22"/>
                      <w:szCs w:val="22"/>
                      <w:lang w:val="fi-FI"/>
                    </w:rPr>
                    <w:t xml:space="preserve">b. </w:t>
                  </w:r>
                  <w:r>
                    <w:rPr>
                      <w:sz w:val="22"/>
                      <w:szCs w:val="22"/>
                      <w:lang w:val="fi-FI"/>
                    </w:rPr>
                    <w:t>Pemenuhan</w:t>
                  </w:r>
                  <w:r w:rsidRPr="0076165E">
                    <w:rPr>
                      <w:sz w:val="22"/>
                      <w:szCs w:val="22"/>
                      <w:lang w:val="fi-FI"/>
                    </w:rPr>
                    <w:t xml:space="preserve"> baku mutu </w:t>
                  </w:r>
                  <w:r>
                    <w:rPr>
                      <w:sz w:val="22"/>
                      <w:szCs w:val="22"/>
                      <w:lang w:val="fi-FI"/>
                    </w:rPr>
                    <w:t>berdasarkan Pemantauan Tim PROPER</w:t>
                  </w:r>
                </w:p>
              </w:tc>
              <w:tc>
                <w:tcPr>
                  <w:tcW w:w="1413" w:type="dxa"/>
                </w:tcPr>
                <w:p w:rsidR="008C7E91" w:rsidRPr="0076165E" w:rsidRDefault="008C7E91" w:rsidP="00024DDB">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100488" w:rsidRPr="0076165E" w:rsidTr="009E4E63">
              <w:tc>
                <w:tcPr>
                  <w:tcW w:w="549" w:type="dxa"/>
                </w:tcPr>
                <w:p w:rsidR="00100488" w:rsidRPr="0076165E" w:rsidRDefault="00100488" w:rsidP="00100488">
                  <w:pPr>
                    <w:spacing w:after="0" w:line="240" w:lineRule="auto"/>
                    <w:jc w:val="center"/>
                    <w:rPr>
                      <w:sz w:val="22"/>
                      <w:szCs w:val="22"/>
                      <w:lang w:val="sv-SE"/>
                    </w:rPr>
                  </w:pPr>
                  <w:r w:rsidRPr="0076165E">
                    <w:rPr>
                      <w:sz w:val="22"/>
                      <w:szCs w:val="22"/>
                      <w:lang w:val="sv-SE"/>
                    </w:rPr>
                    <w:t>6.</w:t>
                  </w:r>
                </w:p>
              </w:tc>
              <w:tc>
                <w:tcPr>
                  <w:tcW w:w="3521" w:type="dxa"/>
                </w:tcPr>
                <w:p w:rsidR="00100488" w:rsidRPr="0076165E" w:rsidRDefault="00100488" w:rsidP="00100488">
                  <w:pPr>
                    <w:spacing w:after="0" w:line="240" w:lineRule="auto"/>
                    <w:rPr>
                      <w:sz w:val="22"/>
                      <w:szCs w:val="22"/>
                      <w:lang w:val="fi-FI"/>
                    </w:rPr>
                  </w:pPr>
                  <w:r w:rsidRPr="0076165E">
                    <w:rPr>
                      <w:sz w:val="22"/>
                      <w:szCs w:val="22"/>
                      <w:lang w:val="fi-FI"/>
                    </w:rPr>
                    <w:t>Ketaatan terhadap Ketentuan Teknis</w:t>
                  </w:r>
                </w:p>
              </w:tc>
              <w:tc>
                <w:tcPr>
                  <w:tcW w:w="1413" w:type="dxa"/>
                </w:tcPr>
                <w:p w:rsidR="00100488" w:rsidRPr="0076165E" w:rsidRDefault="00100488" w:rsidP="00100488">
                  <w:pPr>
                    <w:spacing w:after="0" w:line="240" w:lineRule="auto"/>
                    <w:jc w:val="center"/>
                    <w:rPr>
                      <w:sz w:val="22"/>
                      <w:szCs w:val="22"/>
                    </w:rPr>
                  </w:pPr>
                  <w:r w:rsidRPr="0076165E">
                    <w:rPr>
                      <w:sz w:val="22"/>
                      <w:szCs w:val="22"/>
                    </w:rPr>
                    <w:t>TAAT</w:t>
                  </w:r>
                </w:p>
              </w:tc>
              <w:tc>
                <w:tcPr>
                  <w:tcW w:w="3455" w:type="dxa"/>
                </w:tcPr>
                <w:p w:rsidR="00100488" w:rsidRPr="0076165E" w:rsidRDefault="007E68A1" w:rsidP="0033315B">
                  <w:pPr>
                    <w:spacing w:after="0" w:line="240" w:lineRule="auto"/>
                    <w:rPr>
                      <w:sz w:val="22"/>
                      <w:szCs w:val="22"/>
                      <w:lang w:val="da-DK"/>
                    </w:rPr>
                  </w:pPr>
                  <w:r w:rsidRPr="0076165E">
                    <w:rPr>
                      <w:sz w:val="22"/>
                      <w:szCs w:val="22"/>
                    </w:rPr>
                    <w:t>Sudah memenuhi sesuai ketentuan teknis yang dipersyaratkan.</w:t>
                  </w:r>
                </w:p>
              </w:tc>
            </w:tr>
          </w:tbl>
          <w:p w:rsidR="00100488" w:rsidRPr="0076165E" w:rsidRDefault="00100488" w:rsidP="00100488">
            <w:pPr>
              <w:tabs>
                <w:tab w:val="left" w:pos="492"/>
              </w:tabs>
              <w:spacing w:after="0" w:line="240" w:lineRule="auto"/>
              <w:ind w:left="431"/>
              <w:rPr>
                <w:b/>
                <w:color w:val="000000"/>
                <w:lang w:val="sv-SE"/>
              </w:rPr>
            </w:pPr>
          </w:p>
          <w:p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0" w:type="auto"/>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1607"/>
              <w:gridCol w:w="1674"/>
              <w:gridCol w:w="1956"/>
            </w:tblGrid>
            <w:tr w:rsidR="00382FCC" w:rsidRPr="0076165E" w:rsidTr="00382FCC">
              <w:trPr>
                <w:trHeight w:val="243"/>
              </w:trPr>
              <w:tc>
                <w:tcPr>
                  <w:tcW w:w="822" w:type="dxa"/>
                  <w:shd w:val="clear" w:color="auto" w:fill="D9D9D9"/>
                </w:tcPr>
                <w:p w:rsidR="00382FCC" w:rsidRPr="0076165E" w:rsidRDefault="00382FCC"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rsidR="00382FCC" w:rsidRPr="0076165E" w:rsidRDefault="00382FCC" w:rsidP="00382FCC">
                  <w:pPr>
                    <w:tabs>
                      <w:tab w:val="left" w:pos="492"/>
                    </w:tabs>
                    <w:spacing w:after="0" w:line="240" w:lineRule="auto"/>
                    <w:jc w:val="center"/>
                    <w:rPr>
                      <w:b/>
                      <w:color w:val="000000"/>
                      <w:lang w:val="sv-SE"/>
                    </w:rPr>
                  </w:pPr>
                  <w:r w:rsidRPr="0076165E">
                    <w:rPr>
                      <w:b/>
                      <w:color w:val="000000"/>
                      <w:lang w:val="sv-SE"/>
                    </w:rPr>
                    <w:t>Parameter</w:t>
                  </w:r>
                </w:p>
              </w:tc>
              <w:tc>
                <w:tcPr>
                  <w:tcW w:w="1607"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Beban Inlet</w:t>
                  </w:r>
                </w:p>
              </w:tc>
              <w:tc>
                <w:tcPr>
                  <w:tcW w:w="1674"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Beban Outlet</w:t>
                  </w:r>
                </w:p>
              </w:tc>
              <w:tc>
                <w:tcPr>
                  <w:tcW w:w="1956"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Outlet/Titik</w:t>
                  </w:r>
                </w:p>
              </w:tc>
            </w:tr>
          </w:tbl>
          <w:p w:rsidR="0024600D" w:rsidRPr="0076165E" w:rsidRDefault="00E96460">
            <w:pPr>
              <w:tabs>
                <w:tab w:val="left" w:pos="492"/>
              </w:tabs>
              <w:spacing w:after="0" w:line="240" w:lineRule="auto"/>
              <w:ind w:left="72"/>
              <w:rPr>
                <w:color w:val="000000"/>
                <w:sz w:val="22"/>
                <w:szCs w:val="22"/>
              </w:rPr>
            </w:pPr>
            <w:r w:rsidRPr="0076165E">
              <w:rPr>
                <w:color w:val="000000"/>
                <w:sz w:val="22"/>
                <w:szCs w:val="22"/>
                <w:lang w:val="sv-SE"/>
              </w:rPr>
              <w:t xml:space="preserve">Keterangan : Data beban </w:t>
            </w:r>
            <w:r w:rsidR="00CA314B" w:rsidRPr="0076165E">
              <w:rPr>
                <w:color w:val="000000"/>
                <w:sz w:val="22"/>
                <w:szCs w:val="22"/>
                <w:lang w:val="sv-SE"/>
              </w:rPr>
              <w:t>2022-07-01</w:t>
            </w:r>
            <w:r w:rsidRPr="0076165E">
              <w:rPr>
                <w:color w:val="000000"/>
                <w:sz w:val="22"/>
                <w:szCs w:val="22"/>
                <w:lang w:val="id-ID"/>
              </w:rPr>
              <w:t xml:space="preserve"> s.d </w:t>
            </w:r>
            <w:r w:rsidR="00CA314B" w:rsidRPr="0076165E">
              <w:rPr>
                <w:color w:val="000000"/>
                <w:sz w:val="22"/>
                <w:szCs w:val="22"/>
              </w:rPr>
              <w:t>2023-06-30</w:t>
            </w:r>
          </w:p>
          <w:p w:rsidR="00F41B95" w:rsidRPr="0076165E" w:rsidRDefault="00F41B95">
            <w:pPr>
              <w:tabs>
                <w:tab w:val="left" w:pos="492"/>
              </w:tabs>
              <w:spacing w:after="0" w:line="240" w:lineRule="auto"/>
              <w:ind w:left="72"/>
              <w:rPr>
                <w:color w:val="000000"/>
                <w:sz w:val="22"/>
                <w:szCs w:val="22"/>
              </w:rPr>
            </w:pPr>
          </w:p>
          <w:p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rsidR="00803F85" w:rsidRP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pemenuhan kompetensi Personil (PJ PPA dan PJ OPAL), izin/pertek pembuangan/pemanfaatan air limbah, titik penaatan titik pemantauan, parameter baku mutu, pelaporan, pemenuhan baku mutu, dan ketentuan teknis sesuai dengan peraturan perundangan lingkungan yang berlaku</w:t>
            </w:r>
          </w:p>
          <w:p w:rsidR="00F80A24" w:rsidRPr="0076165E"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tc>
      </w:tr>
      <w:tr w:rsidR="00F80A24" w:rsidRPr="00100488" w:rsidTr="00F80A24">
        <w:trPr>
          <w:trHeight w:val="352"/>
        </w:trPr>
        <w:tc>
          <w:tcPr>
            <w:tcW w:w="9180" w:type="dxa"/>
          </w:tcPr>
          <w:p w:rsidR="00F80A24" w:rsidRPr="004244A4" w:rsidRDefault="00803F85" w:rsidP="00803F85">
            <w:pPr>
              <w:pStyle w:val="ListParagraph"/>
              <w:tabs>
                <w:tab w:val="left" w:pos="409"/>
              </w:tabs>
              <w:spacing w:after="0" w:line="240" w:lineRule="auto"/>
              <w:ind w:left="409" w:right="-1"/>
              <w:jc w:val="both"/>
              <w:rPr>
                <w:color w:val="000000"/>
                <w:sz w:val="22"/>
                <w:lang w:val="sv-SE"/>
              </w:rPr>
            </w:pPr>
            <w:r w:rsidRPr="004244A4">
              <w:rPr>
                <w:color w:val="000000"/>
                <w:lang w:val="sv-SE"/>
              </w:rPr>
              <w:t>Perusahaan WAJIB TETAP memastikan air limbah dikelola oleh pihak ketiga dan menyampaikan laporan sekurang-kurangnya tiga bulan sekali kepada Kepala Dinas Lingkungan Hidup Kabupaten POSO dengan tembusan Kepala Dinas Lingkungan Hidup Provinsi SULAWESI TENGAH dan Direktorat Jenderal Pengendalian Pencemaran dan Kerusakan Lingkungan, Kementerian Lingkungan Hidup dan Kehutanan melalui Simpel.
</w:t>
              <w:br/>
              <w:t/>
            </w:r>
          </w:p>
        </w:tc>
      </w:tr>
    </w:tbl>
    <w:p w:rsidR="00E96460" w:rsidRPr="00100488" w:rsidRDefault="00E96460" w:rsidP="006B29B7">
      <w:pPr>
        <w:rPr>
          <w:b/>
          <w:sz w:val="22"/>
          <w:szCs w:val="22"/>
          <w:lang w:val="id-ID"/>
        </w:rPr>
      </w:pPr>
    </w:p>
    <w:sectPr w:rsidR="00E96460" w:rsidRPr="00100488">
      <w:footerReference w:type="even" r:id="rId9"/>
      <w:footerReference w:type="default" r:id="rId10"/>
      <w:pgSz w:w="11907" w:h="16840"/>
      <w:pgMar w:top="1701" w:right="1134" w:bottom="1134" w:left="1701"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Semua cerobong tidak wajib pantau</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Semua cerobong tidak wajib pantau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Semua cerobong tidak wajib pantau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Semua cerobong tidak wajib pantau  
                      <w:br/>
                      Hasil pemantauan emisi memenuhi baku mutu 
                      <w:br/>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Setya Widiana
                      <w:br/>
                       Nomor Sertifikat : 39000132101000048172021
                      <w:br/>
                       Nama LSP : Lembaga Sertifikasi Pengendalian Pencemaran lingkungan
                      <w:br/>
                       Masa Berlaku  : 2021-11-22 s/d 2024-11-22
                      <w:br/>
                      <w:br/>
                      Operator PPU  
                      <w:br/>
                       Nama Personil : RUSMAN
                      <w:br/>
                       Nomor Sertifikat : 39000313299000048252021
                      <w:br/>
                       Nama LSP : Lembaga Sertifikasi Pengendalian Pencemaran lingkungan
                      <w:br/>
                       Masa Berlaku  : 2021-11-22 s/d 2024-11-22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ambien karena berdasarkan dokumen lingkungan perusahaan tidak memiliki kewajiban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kebisingan karena berdasarkan dokumen lingkungan perusahaan tidak memiliki kewajiban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121.12</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 dengan menggunakan jasa laboratorium yang terakreditasi dan teregistrasi.
                <w:br/>
                3. Perusahaan wajib tetap memenuhi baku mutu semua sumber emisi sesuai .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Bogor dan Dinas LH Provinsi Jawa Barat,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367/PE/ENV/IV/2021
                <w:br/>
                Tertanggal 19-04-2021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TPS LB3
2)	Lokasi penyimpanan LB3 Poso-1 berada pada koordinat S 01Â°39'51.83" dan E 120Â°39'45.75" dengan fasilitas TPS seluas Â±360 m2 (dimensi Panjang 18m, Lebar 20 m, dan Tinggi 3,5m).
3)	Lokasi penyimpanan LB3 Poso-2 berada pada koordinat S 01Â°38,17â dan E 120Â°38'57.9" dengan fasilitas TPS seluas Â±360 m2 (dimensi Panjang 18m, Lebar 20 m, dan Tinggi 3,5m).
1)	Limbah B3 yang dapat disimpan adalah Aki / Baterai bekas (A102d); Minyak pelumas bekas antara lain minyak pelumas bekas hydrolik, mesin, gear, lubrikasi, insulasi, heat transmission, grit chambers, separator, dan/atau campurannya (B105d); Kemasan bekas B3 (B104d); Limbah elektronik termasuk: Cathodic Ray Tube (CRT), lampu TL, Printed Circuit Board (PCB), karet kawat (wire rubber) (B107d); Kain majun bekas (used rags) dan sejenisnya (B110d); Tonner bekas (B353-1); Kemasan produk farmasi (B337-1); Pelarut bekas dan cairan organik dan anorganik bekas pencucian (cleaning) (B337-2); Refrigerant Bekas (A111d); Limbah Terkontaminasi B3 (A108d); Limbah klinis memiliki karakateristik infeksius (A337-1); Produk farmasi kedaluarsa (A337-2); Bahan Kimia Kadaluwarsa (A337-3), Peralatan Laboratorium terkontaminasi B3 (A337-4); Peralatan medis mengadung logam berat, termasuk merkuri (Hg), kadmium (Cd), dan sejenisnya (A337-5); Kemasan Bekas Tinta (B312-4); Limbah Cat (B109d) (A325-1); Pelarut bekas dan cairan organik dan anorganik bekas pencucian (cleaning) (B106d); Residu Proses Produksi yang meliputi manufacturing, perakitan dan pemeliharaan (A323-1); Pelarut (cleaning, degreasing) (A355-1); Filter Bekas dari fasilitas pengendalian pencemaran udara (A355-1); Limbah klinis memiliki karakteristik infeksius (B355-1).
2)	Masa simpan limbah 90 (sembilan puluh) hari sejak Limbah B3 dihasilkan, untuk Limbah B3 yang dihasilkan sebesar 50 kg perhari atau lebih; 80 (seratus delapan puluh) hari sejak Limbah B3 dihasilkan, untuk LimbahB3yang dihasilkan kurang dari 50 kg per hari untuk Limbah B3
kategori 1; 365 (tiga ratus enam puluh lima) hari sejak Limbah B3 dihasilkan, untuk Limbah B3 yang dihasilkan kurang dari 50 kg per hari untuk Limbah B3 kategori 2 dari sumber tidak spesifik dan sumber spesifik umum; atau 365 (tiga ratus enam puluh lima) hari sejak Limbah B3 dihasilkan, untuk Limbah B3 kategori 2 dari sumber spesifik khusus.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0.0230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LB3 disimpan di TPS LB3 dan masih memenuhi masa simpan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25.2941</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10.5841</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14.7100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SUMBER ANUGERAH UTAMA (Eksternal - Dimanfaatkan) 
Dengan pengangkut
PT SULTRA ALAM PERKASA 
Kode festronik
KLHK-1679664818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1.0405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0.9865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0.0540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CITRA ASIA RAYA (Eksternal - Diolah) 
Dengan pengangkut
PT SULTRA ALAM PERKASA 
Kode festronik
KLHK-1679785638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0.1660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0.1455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0.0205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Hijau Lestari Prakarsa Utama (Eksternal - Dimanfaatkan) 
Dengan pengangkut
PT SULTRA ALAM PERKASA 
Kode festronik
KLHK-1679743302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1.2750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1.2060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0.0690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Hijau Lestari Prakarsa Utama (Eksternal - Dimanfaatkan) 
Dengan pengangkut
PT SULTRA ALAM PERKASA 
Kode festronik
KLHK-1679748843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27.7986</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12.9221</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14.8765</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izin pihak ketiga PT. Hijau Lestari Prakarsa Utama, PT. Citra Asia Raya, dan PT. Sumber Anugerah Utama sebagai pemanfaat yang masih berlaku, dan limbah yang dikelola sesuai dengan ketentuan dalam izin berusaha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Sultra Alam Perkasa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pengolah dan pemanfaat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Rincian Teknis Pengelolaan Limbah B3 yang telah terintegrasi ke dalam Izin Lingkungan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rincian teknis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